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B4101">
      <w:pPr>
        <w:jc w:val="center"/>
        <w:rPr>
          <w:rFonts w:hint="eastAsia" w:ascii="黑体" w:hAnsi="黑体" w:eastAsia="黑体" w:cs="Times New Roman"/>
          <w:sz w:val="32"/>
          <w:szCs w:val="32"/>
        </w:rPr>
      </w:pPr>
      <w:bookmarkStart w:id="0" w:name="_GoBack"/>
      <w:bookmarkEnd w:id="0"/>
      <w:r>
        <w:rPr>
          <w:rFonts w:hint="eastAsia" w:ascii="黑体" w:hAnsi="黑体" w:eastAsia="黑体" w:cs="Times New Roman"/>
          <w:sz w:val="32"/>
          <w:szCs w:val="32"/>
        </w:rPr>
        <w:t>2024年</w:t>
      </w:r>
      <w:r>
        <w:rPr>
          <w:rFonts w:ascii="黑体" w:hAnsi="黑体" w:eastAsia="黑体" w:cs="Times New Roman"/>
          <w:sz w:val="32"/>
          <w:szCs w:val="32"/>
        </w:rPr>
        <w:t>青海省科学技术进步奖</w:t>
      </w:r>
      <w:r>
        <w:rPr>
          <w:rFonts w:hint="eastAsia" w:ascii="黑体" w:hAnsi="黑体" w:eastAsia="黑体" w:cs="Times New Roman"/>
          <w:sz w:val="32"/>
          <w:szCs w:val="32"/>
        </w:rPr>
        <w:t>项目</w:t>
      </w:r>
      <w:r>
        <w:rPr>
          <w:rFonts w:ascii="黑体" w:hAnsi="黑体" w:eastAsia="黑体" w:cs="Times New Roman"/>
          <w:sz w:val="32"/>
          <w:szCs w:val="32"/>
        </w:rPr>
        <w:t>公示</w:t>
      </w:r>
    </w:p>
    <w:p w14:paraId="4D298AC5">
      <w:pPr>
        <w:pStyle w:val="7"/>
        <w:spacing w:before="156" w:beforeLines="50" w:line="360" w:lineRule="auto"/>
        <w:ind w:left="-720" w:leftChars="-343" w:firstLine="723" w:firstLineChars="300"/>
        <w:jc w:val="left"/>
        <w:outlineLvl w:val="0"/>
        <w:rPr>
          <w:rFonts w:hint="eastAsia" w:ascii="宋体" w:hAnsi="宋体" w:eastAsia="宋体" w:cs="宋体"/>
          <w:b/>
          <w:bCs/>
          <w:sz w:val="24"/>
          <w:szCs w:val="24"/>
        </w:rPr>
      </w:pPr>
      <w:r>
        <w:rPr>
          <w:rFonts w:hint="eastAsia" w:ascii="宋体" w:hAnsi="宋体" w:eastAsia="宋体" w:cs="宋体"/>
          <w:b/>
          <w:bCs/>
          <w:sz w:val="24"/>
          <w:szCs w:val="24"/>
        </w:rPr>
        <w:t>一、项目名称</w:t>
      </w:r>
    </w:p>
    <w:p w14:paraId="4DBD85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环境友好型旋流泄洪消能关键技术及应用</w:t>
      </w:r>
    </w:p>
    <w:p w14:paraId="7AB29D98">
      <w:pPr>
        <w:pStyle w:val="7"/>
        <w:spacing w:before="156" w:beforeLines="50" w:line="360" w:lineRule="auto"/>
        <w:ind w:left="-720" w:leftChars="-343" w:firstLine="723" w:firstLineChars="300"/>
        <w:jc w:val="left"/>
        <w:outlineLvl w:val="0"/>
        <w:rPr>
          <w:rFonts w:hint="eastAsia" w:ascii="宋体" w:hAnsi="宋体" w:eastAsia="宋体" w:cs="宋体"/>
          <w:b/>
          <w:bCs/>
          <w:sz w:val="24"/>
          <w:szCs w:val="24"/>
        </w:rPr>
      </w:pPr>
      <w:r>
        <w:rPr>
          <w:rFonts w:hint="eastAsia" w:ascii="宋体" w:hAnsi="宋体" w:eastAsia="宋体" w:cs="宋体"/>
          <w:b/>
          <w:bCs/>
          <w:sz w:val="24"/>
          <w:szCs w:val="24"/>
        </w:rPr>
        <w:t>二、提名者及提名意见</w:t>
      </w:r>
    </w:p>
    <w:p w14:paraId="3154DB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提名者：王浩</w:t>
      </w:r>
    </w:p>
    <w:p w14:paraId="1F7E9D8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提名意见：</w:t>
      </w:r>
    </w:p>
    <w:p w14:paraId="2C4392E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针对枢纽工程泄洪结构体型设计、空蚀和雾化防护等关键技术难题，依托青海黄河公伯峡、茨哈峡、羊曲水电站等国家重大工程和国家、省部级重点科研项目，开展了旋流泄洪消能工理论、关键技术系统研究与工程实践。</w:t>
      </w:r>
    </w:p>
    <w:p w14:paraId="3767AB4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创新成果包括：突破了泄洪洞消能传统设计理念和方法。发明了水平旋流、新型环形堰竖井旋流、双层进口竖井旋流等泄洪消能新体型，实现了运行可靠、安全经济和环境友好的有机融合。建立了一套新型旋流泄洪消能的水力设计理论。揭示了调流掺气、旋流增压机理，提出了旋流进口、竖井、平洞等关键结构的水力设计计算公式，解决了新型旋流泄洪的设计难题。提出了新型旋流泄洪洞水力特性预测方法和模型。创建了模拟具有强旋转竖井螺旋流运动的水力特性和总溶解气体分布特性的三维数值模拟方法，解决了含气水流缩尺效应、总溶解气体等定量计算难题。研发了成套旋流泄洪消能、掺气减蚀新技术。提出了进口潜水起旋墩技术、起旋室折流技术、洞内旋流与水垫塘联合消能技术、洞身掺气减蚀技术等成套旋流泄洪洞新技术，破解了泄洪与消能、掺气与减蚀等多项技术难题。</w:t>
      </w:r>
    </w:p>
    <w:p w14:paraId="1F22398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获授权国家发明专利25项，发表学术论文80篇，出版专著4部；形成标准、工法6项。成果已成功应用到黄河公伯峡水电站、广东清远抽蓄电站、九龙河溪古水电站、黄河茨哈峡水电站、黄河羊曲水电站等20余项工程，实践证实泄洪洞洞内外无空蚀和冲刷，出口无雾化，社会和生态环境效益显著，推广应用价值广阔。</w:t>
      </w:r>
    </w:p>
    <w:p w14:paraId="28EB5E9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根据青海省科学进步奖授奖条件，同意提名该项目申报青海省科学技术进步一等奖。</w:t>
      </w:r>
    </w:p>
    <w:p w14:paraId="6898FFED">
      <w:pPr>
        <w:pStyle w:val="7"/>
        <w:spacing w:before="156" w:beforeLines="50" w:line="360" w:lineRule="auto"/>
        <w:ind w:firstLine="0" w:firstLineChars="0"/>
        <w:jc w:val="left"/>
        <w:outlineLvl w:val="0"/>
        <w:rPr>
          <w:rFonts w:hint="eastAsia" w:ascii="宋体" w:hAnsi="宋体" w:eastAsia="宋体" w:cs="宋体"/>
          <w:b/>
          <w:bCs/>
          <w:sz w:val="24"/>
          <w:szCs w:val="24"/>
        </w:rPr>
      </w:pPr>
      <w:r>
        <w:rPr>
          <w:rFonts w:hint="eastAsia" w:ascii="宋体" w:hAnsi="宋体" w:eastAsia="宋体" w:cs="宋体"/>
          <w:b/>
          <w:bCs/>
          <w:sz w:val="24"/>
          <w:szCs w:val="24"/>
        </w:rPr>
        <w:t>三、主要知识产权目录</w:t>
      </w:r>
    </w:p>
    <w:tbl>
      <w:tblPr>
        <w:tblStyle w:val="5"/>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415"/>
        <w:gridCol w:w="1258"/>
        <w:gridCol w:w="835"/>
        <w:gridCol w:w="596"/>
        <w:gridCol w:w="1024"/>
        <w:gridCol w:w="653"/>
        <w:gridCol w:w="1209"/>
        <w:gridCol w:w="1812"/>
        <w:gridCol w:w="617"/>
      </w:tblGrid>
      <w:tr w14:paraId="3E074C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509F19F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序号</w:t>
            </w:r>
          </w:p>
        </w:tc>
        <w:tc>
          <w:tcPr>
            <w:tcW w:w="747" w:type="pct"/>
            <w:shd w:val="clear" w:color="auto" w:fill="auto"/>
            <w:vAlign w:val="center"/>
          </w:tcPr>
          <w:p w14:paraId="02B3DDAB">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授权项目名称</w:t>
            </w:r>
          </w:p>
        </w:tc>
        <w:tc>
          <w:tcPr>
            <w:tcW w:w="496" w:type="pct"/>
            <w:shd w:val="clear" w:color="auto" w:fill="auto"/>
            <w:vAlign w:val="center"/>
          </w:tcPr>
          <w:p w14:paraId="494BA0CB">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知识产权类别</w:t>
            </w:r>
          </w:p>
        </w:tc>
        <w:tc>
          <w:tcPr>
            <w:tcW w:w="354" w:type="pct"/>
            <w:shd w:val="clear" w:color="auto" w:fill="auto"/>
            <w:vAlign w:val="center"/>
          </w:tcPr>
          <w:p w14:paraId="75646403">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授权国家</w:t>
            </w:r>
          </w:p>
        </w:tc>
        <w:tc>
          <w:tcPr>
            <w:tcW w:w="608" w:type="pct"/>
            <w:shd w:val="clear" w:color="auto" w:fill="auto"/>
            <w:vAlign w:val="center"/>
          </w:tcPr>
          <w:p w14:paraId="275DB6E2">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授权号</w:t>
            </w:r>
          </w:p>
        </w:tc>
        <w:tc>
          <w:tcPr>
            <w:tcW w:w="388" w:type="pct"/>
            <w:shd w:val="clear" w:color="auto" w:fill="auto"/>
            <w:vAlign w:val="center"/>
          </w:tcPr>
          <w:p w14:paraId="513DD63D">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授权日期</w:t>
            </w:r>
          </w:p>
        </w:tc>
        <w:tc>
          <w:tcPr>
            <w:tcW w:w="718" w:type="pct"/>
            <w:shd w:val="clear" w:color="auto" w:fill="auto"/>
            <w:vAlign w:val="center"/>
          </w:tcPr>
          <w:p w14:paraId="4C50CFB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权利人</w:t>
            </w:r>
          </w:p>
        </w:tc>
        <w:tc>
          <w:tcPr>
            <w:tcW w:w="1076" w:type="pct"/>
            <w:shd w:val="clear" w:color="auto" w:fill="auto"/>
            <w:vAlign w:val="center"/>
          </w:tcPr>
          <w:p w14:paraId="533D1BA9">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发明人</w:t>
            </w:r>
          </w:p>
        </w:tc>
        <w:tc>
          <w:tcPr>
            <w:tcW w:w="366" w:type="pct"/>
            <w:shd w:val="clear" w:color="auto" w:fill="auto"/>
            <w:vAlign w:val="center"/>
          </w:tcPr>
          <w:p w14:paraId="6A5AF21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有效状态</w:t>
            </w:r>
          </w:p>
        </w:tc>
      </w:tr>
      <w:tr w14:paraId="43C2AA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391F0CBF">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1</w:t>
            </w:r>
          </w:p>
        </w:tc>
        <w:tc>
          <w:tcPr>
            <w:tcW w:w="747" w:type="pct"/>
            <w:shd w:val="clear" w:color="auto" w:fill="auto"/>
            <w:vAlign w:val="center"/>
          </w:tcPr>
          <w:p w14:paraId="7738BD65">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一种双竖井旋流消能泄洪洞结构型式</w:t>
            </w:r>
          </w:p>
        </w:tc>
        <w:tc>
          <w:tcPr>
            <w:tcW w:w="496" w:type="pct"/>
            <w:shd w:val="clear" w:color="auto" w:fill="auto"/>
            <w:vAlign w:val="center"/>
          </w:tcPr>
          <w:p w14:paraId="56C6CCD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发明专利</w:t>
            </w:r>
          </w:p>
        </w:tc>
        <w:tc>
          <w:tcPr>
            <w:tcW w:w="354" w:type="pct"/>
            <w:shd w:val="clear" w:color="auto" w:fill="auto"/>
            <w:vAlign w:val="center"/>
          </w:tcPr>
          <w:p w14:paraId="23AE402F">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6EE11540">
            <w:pPr>
              <w:pStyle w:val="2"/>
              <w:adjustRightInd w:val="0"/>
              <w:snapToGrid w:val="0"/>
              <w:spacing w:line="240" w:lineRule="auto"/>
              <w:ind w:firstLine="0" w:firstLineChars="0"/>
              <w:jc w:val="center"/>
              <w:rPr>
                <w:rFonts w:hint="eastAsia" w:ascii="宋体" w:hAnsi="宋体"/>
                <w:sz w:val="21"/>
                <w:szCs w:val="21"/>
              </w:rPr>
            </w:pPr>
            <w:r>
              <w:rPr>
                <w:rFonts w:ascii="宋体" w:hAnsi="宋体"/>
                <w:sz w:val="21"/>
                <w:szCs w:val="21"/>
              </w:rPr>
              <w:t>ZL202110497090.X</w:t>
            </w:r>
          </w:p>
        </w:tc>
        <w:tc>
          <w:tcPr>
            <w:tcW w:w="388" w:type="pct"/>
            <w:shd w:val="clear" w:color="auto" w:fill="auto"/>
            <w:vAlign w:val="center"/>
          </w:tcPr>
          <w:p w14:paraId="4BF931B5">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2022年01月04日</w:t>
            </w:r>
          </w:p>
        </w:tc>
        <w:tc>
          <w:tcPr>
            <w:tcW w:w="718" w:type="pct"/>
            <w:shd w:val="clear" w:color="auto" w:fill="auto"/>
            <w:vAlign w:val="center"/>
          </w:tcPr>
          <w:p w14:paraId="31F4D787">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中国电建集团西北勘测设计研究院有限公司</w:t>
            </w:r>
          </w:p>
        </w:tc>
        <w:tc>
          <w:tcPr>
            <w:tcW w:w="1076" w:type="pct"/>
            <w:shd w:val="clear" w:color="auto" w:fill="auto"/>
            <w:vAlign w:val="center"/>
          </w:tcPr>
          <w:p w14:paraId="18FD29AA">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周恒</w:t>
            </w:r>
            <w:r>
              <w:rPr>
                <w:rFonts w:ascii="宋体" w:hAnsi="宋体"/>
                <w:sz w:val="21"/>
                <w:szCs w:val="21"/>
              </w:rPr>
              <w:t>，</w:t>
            </w:r>
            <w:r>
              <w:rPr>
                <w:rFonts w:hint="eastAsia" w:ascii="宋体" w:hAnsi="宋体"/>
                <w:sz w:val="21"/>
                <w:szCs w:val="21"/>
              </w:rPr>
              <w:t>陆希</w:t>
            </w:r>
            <w:r>
              <w:rPr>
                <w:rFonts w:ascii="宋体" w:hAnsi="宋体"/>
                <w:sz w:val="21"/>
                <w:szCs w:val="21"/>
              </w:rPr>
              <w:t>，</w:t>
            </w:r>
            <w:r>
              <w:rPr>
                <w:rFonts w:hint="eastAsia" w:ascii="宋体" w:hAnsi="宋体"/>
                <w:sz w:val="21"/>
                <w:szCs w:val="21"/>
              </w:rPr>
              <w:t>狄圣杰</w:t>
            </w:r>
            <w:r>
              <w:rPr>
                <w:rFonts w:ascii="宋体" w:hAnsi="宋体"/>
                <w:sz w:val="21"/>
                <w:szCs w:val="21"/>
              </w:rPr>
              <w:t>，</w:t>
            </w:r>
            <w:r>
              <w:rPr>
                <w:rFonts w:hint="eastAsia" w:ascii="宋体" w:hAnsi="宋体"/>
                <w:sz w:val="21"/>
                <w:szCs w:val="21"/>
              </w:rPr>
              <w:t>黄鹏，刘静，张莹，</w:t>
            </w:r>
            <w:r>
              <w:rPr>
                <w:rFonts w:ascii="宋体" w:hAnsi="宋体"/>
                <w:sz w:val="21"/>
                <w:szCs w:val="21"/>
              </w:rPr>
              <w:t>王卫国</w:t>
            </w:r>
            <w:r>
              <w:rPr>
                <w:rFonts w:hint="eastAsia" w:ascii="宋体" w:hAnsi="宋体"/>
                <w:sz w:val="21"/>
                <w:szCs w:val="21"/>
              </w:rPr>
              <w:t>，</w:t>
            </w:r>
            <w:r>
              <w:rPr>
                <w:rFonts w:ascii="宋体" w:hAnsi="宋体"/>
                <w:sz w:val="21"/>
                <w:szCs w:val="21"/>
              </w:rPr>
              <w:t>尹进步</w:t>
            </w:r>
          </w:p>
        </w:tc>
        <w:tc>
          <w:tcPr>
            <w:tcW w:w="366" w:type="pct"/>
            <w:shd w:val="clear" w:color="auto" w:fill="auto"/>
            <w:vAlign w:val="center"/>
          </w:tcPr>
          <w:p w14:paraId="43342D82">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72FAC9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1E0FBA30">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w:t>
            </w:r>
          </w:p>
        </w:tc>
        <w:tc>
          <w:tcPr>
            <w:tcW w:w="747" w:type="pct"/>
            <w:shd w:val="clear" w:color="auto" w:fill="auto"/>
            <w:vAlign w:val="center"/>
          </w:tcPr>
          <w:p w14:paraId="5C66809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一种双旋消能泄洪洞结构型式</w:t>
            </w:r>
          </w:p>
        </w:tc>
        <w:tc>
          <w:tcPr>
            <w:tcW w:w="496" w:type="pct"/>
            <w:shd w:val="clear" w:color="auto" w:fill="auto"/>
            <w:vAlign w:val="center"/>
          </w:tcPr>
          <w:p w14:paraId="635F8FFF">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发明专利</w:t>
            </w:r>
          </w:p>
        </w:tc>
        <w:tc>
          <w:tcPr>
            <w:tcW w:w="354" w:type="pct"/>
            <w:shd w:val="clear" w:color="auto" w:fill="auto"/>
            <w:vAlign w:val="center"/>
          </w:tcPr>
          <w:p w14:paraId="6424087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5566C854">
            <w:pPr>
              <w:pStyle w:val="2"/>
              <w:adjustRightInd w:val="0"/>
              <w:snapToGrid w:val="0"/>
              <w:spacing w:line="240" w:lineRule="auto"/>
              <w:ind w:firstLine="0" w:firstLineChars="0"/>
              <w:jc w:val="center"/>
              <w:rPr>
                <w:rFonts w:hint="eastAsia" w:ascii="宋体" w:hAnsi="宋体"/>
                <w:sz w:val="21"/>
                <w:szCs w:val="21"/>
              </w:rPr>
            </w:pPr>
            <w:r>
              <w:rPr>
                <w:rFonts w:ascii="宋体" w:hAnsi="宋体"/>
                <w:sz w:val="21"/>
                <w:szCs w:val="21"/>
              </w:rPr>
              <w:t>ZL202110496909.0</w:t>
            </w:r>
          </w:p>
        </w:tc>
        <w:tc>
          <w:tcPr>
            <w:tcW w:w="388" w:type="pct"/>
            <w:shd w:val="clear" w:color="auto" w:fill="auto"/>
            <w:vAlign w:val="center"/>
          </w:tcPr>
          <w:p w14:paraId="6320105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2021年12月31日</w:t>
            </w:r>
          </w:p>
        </w:tc>
        <w:tc>
          <w:tcPr>
            <w:tcW w:w="718" w:type="pct"/>
            <w:shd w:val="clear" w:color="auto" w:fill="auto"/>
            <w:vAlign w:val="center"/>
          </w:tcPr>
          <w:p w14:paraId="601F9A91">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中国电建集团西北勘测设计研究院有限公司</w:t>
            </w:r>
          </w:p>
        </w:tc>
        <w:tc>
          <w:tcPr>
            <w:tcW w:w="1076" w:type="pct"/>
            <w:shd w:val="clear" w:color="auto" w:fill="auto"/>
            <w:vAlign w:val="center"/>
          </w:tcPr>
          <w:p w14:paraId="3779990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周恒</w:t>
            </w:r>
            <w:r>
              <w:rPr>
                <w:rFonts w:ascii="宋体" w:hAnsi="宋体"/>
                <w:sz w:val="21"/>
                <w:szCs w:val="21"/>
              </w:rPr>
              <w:t>，</w:t>
            </w:r>
            <w:r>
              <w:rPr>
                <w:rFonts w:hint="eastAsia" w:ascii="宋体" w:hAnsi="宋体"/>
                <w:sz w:val="21"/>
                <w:szCs w:val="21"/>
              </w:rPr>
              <w:t>狄圣杰</w:t>
            </w:r>
            <w:r>
              <w:rPr>
                <w:rFonts w:ascii="宋体" w:hAnsi="宋体"/>
                <w:sz w:val="21"/>
                <w:szCs w:val="21"/>
              </w:rPr>
              <w:t>，</w:t>
            </w:r>
            <w:r>
              <w:rPr>
                <w:rFonts w:hint="eastAsia" w:ascii="宋体" w:hAnsi="宋体"/>
                <w:sz w:val="21"/>
                <w:szCs w:val="21"/>
              </w:rPr>
              <w:t>陆希</w:t>
            </w:r>
            <w:r>
              <w:rPr>
                <w:rFonts w:ascii="宋体" w:hAnsi="宋体"/>
                <w:sz w:val="21"/>
                <w:szCs w:val="21"/>
              </w:rPr>
              <w:t>，</w:t>
            </w:r>
            <w:r>
              <w:rPr>
                <w:rFonts w:hint="eastAsia" w:ascii="宋体" w:hAnsi="宋体"/>
                <w:sz w:val="21"/>
                <w:szCs w:val="21"/>
              </w:rPr>
              <w:t>张莹，</w:t>
            </w:r>
            <w:r>
              <w:rPr>
                <w:rFonts w:ascii="宋体" w:hAnsi="宋体"/>
                <w:sz w:val="21"/>
                <w:szCs w:val="21"/>
              </w:rPr>
              <w:t>王卫国</w:t>
            </w:r>
            <w:r>
              <w:rPr>
                <w:rFonts w:hint="eastAsia" w:ascii="宋体" w:hAnsi="宋体"/>
                <w:sz w:val="21"/>
                <w:szCs w:val="21"/>
              </w:rPr>
              <w:t>，</w:t>
            </w:r>
            <w:r>
              <w:rPr>
                <w:rFonts w:ascii="宋体" w:hAnsi="宋体"/>
                <w:sz w:val="21"/>
                <w:szCs w:val="21"/>
              </w:rPr>
              <w:t>尹进步</w:t>
            </w:r>
          </w:p>
        </w:tc>
        <w:tc>
          <w:tcPr>
            <w:tcW w:w="366" w:type="pct"/>
            <w:shd w:val="clear" w:color="auto" w:fill="auto"/>
            <w:vAlign w:val="center"/>
          </w:tcPr>
          <w:p w14:paraId="4EF047A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5AFE07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1A115E4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3</w:t>
            </w:r>
          </w:p>
        </w:tc>
        <w:tc>
          <w:tcPr>
            <w:tcW w:w="747" w:type="pct"/>
            <w:shd w:val="clear" w:color="auto" w:fill="auto"/>
            <w:vAlign w:val="center"/>
          </w:tcPr>
          <w:p w14:paraId="275A08AF">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一种改善水流流态的旋流泄洪洞涡室进口结构</w:t>
            </w:r>
          </w:p>
        </w:tc>
        <w:tc>
          <w:tcPr>
            <w:tcW w:w="496" w:type="pct"/>
            <w:shd w:val="clear" w:color="auto" w:fill="auto"/>
            <w:vAlign w:val="center"/>
          </w:tcPr>
          <w:p w14:paraId="440BDAF8">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发明专利</w:t>
            </w:r>
          </w:p>
        </w:tc>
        <w:tc>
          <w:tcPr>
            <w:tcW w:w="354" w:type="pct"/>
            <w:shd w:val="clear" w:color="auto" w:fill="auto"/>
            <w:vAlign w:val="center"/>
          </w:tcPr>
          <w:p w14:paraId="15DC3B2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3CD71A72">
            <w:pPr>
              <w:pStyle w:val="2"/>
              <w:adjustRightInd w:val="0"/>
              <w:snapToGrid w:val="0"/>
              <w:spacing w:line="240" w:lineRule="auto"/>
              <w:ind w:firstLine="0" w:firstLineChars="0"/>
              <w:jc w:val="center"/>
              <w:rPr>
                <w:rFonts w:hint="eastAsia" w:ascii="宋体" w:hAnsi="宋体"/>
                <w:sz w:val="21"/>
                <w:szCs w:val="21"/>
              </w:rPr>
            </w:pPr>
            <w:r>
              <w:rPr>
                <w:rFonts w:ascii="宋体" w:hAnsi="宋体"/>
                <w:sz w:val="21"/>
                <w:szCs w:val="21"/>
              </w:rPr>
              <w:t>ZL202110253379.7</w:t>
            </w:r>
          </w:p>
        </w:tc>
        <w:tc>
          <w:tcPr>
            <w:tcW w:w="388" w:type="pct"/>
            <w:shd w:val="clear" w:color="auto" w:fill="auto"/>
            <w:vAlign w:val="center"/>
          </w:tcPr>
          <w:p w14:paraId="231E4CE0">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w:t>
            </w:r>
            <w:r>
              <w:rPr>
                <w:rFonts w:ascii="宋体" w:hAnsi="宋体"/>
                <w:sz w:val="21"/>
                <w:szCs w:val="21"/>
              </w:rPr>
              <w:t>22</w:t>
            </w:r>
            <w:r>
              <w:rPr>
                <w:rFonts w:hint="eastAsia" w:ascii="宋体" w:hAnsi="宋体"/>
                <w:sz w:val="21"/>
                <w:szCs w:val="21"/>
              </w:rPr>
              <w:t>年</w:t>
            </w:r>
            <w:r>
              <w:rPr>
                <w:rFonts w:ascii="宋体" w:hAnsi="宋体"/>
                <w:sz w:val="21"/>
                <w:szCs w:val="21"/>
              </w:rPr>
              <w:t>7</w:t>
            </w:r>
            <w:r>
              <w:rPr>
                <w:rFonts w:hint="eastAsia" w:ascii="宋体" w:hAnsi="宋体"/>
                <w:sz w:val="21"/>
                <w:szCs w:val="21"/>
              </w:rPr>
              <w:t>月</w:t>
            </w:r>
            <w:r>
              <w:rPr>
                <w:rFonts w:ascii="宋体" w:hAnsi="宋体"/>
                <w:sz w:val="21"/>
                <w:szCs w:val="21"/>
              </w:rPr>
              <w:t>22</w:t>
            </w:r>
            <w:r>
              <w:rPr>
                <w:rFonts w:hint="eastAsia" w:ascii="宋体" w:hAnsi="宋体"/>
                <w:sz w:val="21"/>
                <w:szCs w:val="21"/>
              </w:rPr>
              <w:t>日</w:t>
            </w:r>
          </w:p>
        </w:tc>
        <w:tc>
          <w:tcPr>
            <w:tcW w:w="718" w:type="pct"/>
            <w:shd w:val="clear" w:color="auto" w:fill="auto"/>
            <w:vAlign w:val="center"/>
          </w:tcPr>
          <w:p w14:paraId="5C77EF7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中国电建集团西北勘测设计研究院有限公司、西北农林科技大学</w:t>
            </w:r>
          </w:p>
        </w:tc>
        <w:tc>
          <w:tcPr>
            <w:tcW w:w="1076" w:type="pct"/>
            <w:shd w:val="clear" w:color="auto" w:fill="auto"/>
            <w:vAlign w:val="center"/>
          </w:tcPr>
          <w:p w14:paraId="002A63A7">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周恒，</w:t>
            </w:r>
            <w:r>
              <w:rPr>
                <w:rFonts w:ascii="宋体" w:hAnsi="宋体"/>
                <w:sz w:val="21"/>
                <w:szCs w:val="21"/>
              </w:rPr>
              <w:t>尹进步</w:t>
            </w:r>
            <w:r>
              <w:rPr>
                <w:rFonts w:hint="eastAsia" w:ascii="宋体" w:hAnsi="宋体"/>
                <w:sz w:val="21"/>
                <w:szCs w:val="21"/>
              </w:rPr>
              <w:t>，陆希</w:t>
            </w:r>
            <w:r>
              <w:rPr>
                <w:rFonts w:ascii="宋体" w:hAnsi="宋体"/>
                <w:sz w:val="21"/>
                <w:szCs w:val="21"/>
              </w:rPr>
              <w:t>，</w:t>
            </w:r>
            <w:r>
              <w:rPr>
                <w:rFonts w:hint="eastAsia" w:ascii="宋体" w:hAnsi="宋体"/>
                <w:sz w:val="21"/>
                <w:szCs w:val="21"/>
              </w:rPr>
              <w:t>刘静，丁新潮，王卫国，王凡，李跃涛</w:t>
            </w:r>
          </w:p>
        </w:tc>
        <w:tc>
          <w:tcPr>
            <w:tcW w:w="366" w:type="pct"/>
            <w:shd w:val="clear" w:color="auto" w:fill="auto"/>
            <w:vAlign w:val="center"/>
          </w:tcPr>
          <w:p w14:paraId="753DB2B7">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41B5C7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5E6EB217">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4</w:t>
            </w:r>
          </w:p>
        </w:tc>
        <w:tc>
          <w:tcPr>
            <w:tcW w:w="747" w:type="pct"/>
            <w:shd w:val="clear" w:color="auto" w:fill="auto"/>
            <w:vAlign w:val="center"/>
          </w:tcPr>
          <w:p w14:paraId="57B2F49F">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一种用于竖井旋流泄洪洞涡室进口的结构</w:t>
            </w:r>
          </w:p>
        </w:tc>
        <w:tc>
          <w:tcPr>
            <w:tcW w:w="496" w:type="pct"/>
            <w:shd w:val="clear" w:color="auto" w:fill="auto"/>
            <w:vAlign w:val="center"/>
          </w:tcPr>
          <w:p w14:paraId="075F508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发明专利</w:t>
            </w:r>
          </w:p>
        </w:tc>
        <w:tc>
          <w:tcPr>
            <w:tcW w:w="354" w:type="pct"/>
            <w:shd w:val="clear" w:color="auto" w:fill="auto"/>
            <w:vAlign w:val="center"/>
          </w:tcPr>
          <w:p w14:paraId="6EA2146D">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5AF68651">
            <w:pPr>
              <w:pStyle w:val="2"/>
              <w:adjustRightInd w:val="0"/>
              <w:snapToGrid w:val="0"/>
              <w:spacing w:line="240" w:lineRule="auto"/>
              <w:ind w:firstLine="0" w:firstLineChars="0"/>
              <w:jc w:val="center"/>
              <w:rPr>
                <w:rFonts w:hint="eastAsia" w:ascii="宋体" w:hAnsi="宋体"/>
                <w:sz w:val="21"/>
                <w:szCs w:val="21"/>
              </w:rPr>
            </w:pPr>
            <w:r>
              <w:rPr>
                <w:rFonts w:ascii="宋体" w:hAnsi="宋体"/>
                <w:sz w:val="21"/>
                <w:szCs w:val="21"/>
              </w:rPr>
              <w:t>ZL202110253413.0</w:t>
            </w:r>
          </w:p>
        </w:tc>
        <w:tc>
          <w:tcPr>
            <w:tcW w:w="388" w:type="pct"/>
            <w:shd w:val="clear" w:color="auto" w:fill="auto"/>
            <w:vAlign w:val="center"/>
          </w:tcPr>
          <w:p w14:paraId="3E8BC0D8">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202</w:t>
            </w:r>
            <w:r>
              <w:rPr>
                <w:rFonts w:ascii="宋体" w:hAnsi="宋体"/>
                <w:sz w:val="21"/>
                <w:szCs w:val="21"/>
              </w:rPr>
              <w:t>3</w:t>
            </w:r>
            <w:r>
              <w:rPr>
                <w:rFonts w:hint="eastAsia" w:ascii="宋体" w:hAnsi="宋体"/>
                <w:sz w:val="21"/>
                <w:szCs w:val="21"/>
              </w:rPr>
              <w:t>年2月17日</w:t>
            </w:r>
          </w:p>
        </w:tc>
        <w:tc>
          <w:tcPr>
            <w:tcW w:w="718" w:type="pct"/>
            <w:shd w:val="clear" w:color="auto" w:fill="auto"/>
            <w:vAlign w:val="center"/>
          </w:tcPr>
          <w:p w14:paraId="1271FC22">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中国电建集团西北勘测设计研究院有限公司、西北农林科技大学</w:t>
            </w:r>
          </w:p>
        </w:tc>
        <w:tc>
          <w:tcPr>
            <w:tcW w:w="1076" w:type="pct"/>
            <w:shd w:val="clear" w:color="auto" w:fill="auto"/>
            <w:vAlign w:val="center"/>
          </w:tcPr>
          <w:p w14:paraId="39E259C7">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周恒，</w:t>
            </w:r>
            <w:r>
              <w:rPr>
                <w:rFonts w:ascii="宋体" w:hAnsi="宋体"/>
                <w:sz w:val="21"/>
                <w:szCs w:val="21"/>
              </w:rPr>
              <w:t>尹进步</w:t>
            </w:r>
            <w:r>
              <w:rPr>
                <w:rFonts w:hint="eastAsia" w:ascii="宋体" w:hAnsi="宋体"/>
                <w:sz w:val="21"/>
                <w:szCs w:val="21"/>
              </w:rPr>
              <w:t>，丁新潮，吴宝琴</w:t>
            </w:r>
            <w:r>
              <w:rPr>
                <w:rFonts w:ascii="宋体" w:hAnsi="宋体"/>
                <w:sz w:val="21"/>
                <w:szCs w:val="21"/>
              </w:rPr>
              <w:t>，</w:t>
            </w:r>
            <w:r>
              <w:rPr>
                <w:rFonts w:hint="eastAsia" w:ascii="宋体" w:hAnsi="宋体"/>
                <w:sz w:val="21"/>
                <w:szCs w:val="21"/>
              </w:rPr>
              <w:t>李跃涛，南洪，朱颖儒，白朝伟</w:t>
            </w:r>
          </w:p>
        </w:tc>
        <w:tc>
          <w:tcPr>
            <w:tcW w:w="366" w:type="pct"/>
            <w:shd w:val="clear" w:color="auto" w:fill="auto"/>
            <w:vAlign w:val="center"/>
          </w:tcPr>
          <w:p w14:paraId="3B9AEE53">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45E2F1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5748694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5</w:t>
            </w:r>
          </w:p>
        </w:tc>
        <w:tc>
          <w:tcPr>
            <w:tcW w:w="747" w:type="pct"/>
            <w:shd w:val="clear" w:color="auto" w:fill="auto"/>
            <w:vAlign w:val="center"/>
          </w:tcPr>
          <w:p w14:paraId="0FFCB061">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一种潜水起旋墩自调流竖井消能方法与装置</w:t>
            </w:r>
          </w:p>
        </w:tc>
        <w:tc>
          <w:tcPr>
            <w:tcW w:w="496" w:type="pct"/>
            <w:shd w:val="clear" w:color="auto" w:fill="auto"/>
            <w:vAlign w:val="center"/>
          </w:tcPr>
          <w:p w14:paraId="6C0720F3">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发明专利</w:t>
            </w:r>
          </w:p>
        </w:tc>
        <w:tc>
          <w:tcPr>
            <w:tcW w:w="354" w:type="pct"/>
            <w:shd w:val="clear" w:color="auto" w:fill="auto"/>
            <w:vAlign w:val="center"/>
          </w:tcPr>
          <w:p w14:paraId="6887EE7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78A778A6">
            <w:pPr>
              <w:pStyle w:val="2"/>
              <w:adjustRightInd w:val="0"/>
              <w:snapToGrid w:val="0"/>
              <w:spacing w:line="240" w:lineRule="auto"/>
              <w:ind w:firstLine="0" w:firstLineChars="0"/>
              <w:jc w:val="center"/>
              <w:rPr>
                <w:rFonts w:hint="eastAsia" w:ascii="宋体" w:hAnsi="宋体"/>
                <w:sz w:val="21"/>
                <w:szCs w:val="21"/>
              </w:rPr>
            </w:pPr>
            <w:r>
              <w:rPr>
                <w:rFonts w:ascii="宋体" w:hAnsi="宋体"/>
                <w:sz w:val="21"/>
                <w:szCs w:val="21"/>
              </w:rPr>
              <w:t>ZL 201010239680.4</w:t>
            </w:r>
          </w:p>
          <w:p w14:paraId="41D3D2CC">
            <w:pPr>
              <w:pStyle w:val="2"/>
              <w:adjustRightInd w:val="0"/>
              <w:snapToGrid w:val="0"/>
              <w:spacing w:line="240" w:lineRule="auto"/>
              <w:ind w:firstLine="0" w:firstLineChars="0"/>
              <w:jc w:val="center"/>
              <w:rPr>
                <w:rFonts w:hint="eastAsia" w:ascii="宋体" w:hAnsi="宋体"/>
                <w:sz w:val="21"/>
                <w:szCs w:val="21"/>
              </w:rPr>
            </w:pPr>
          </w:p>
        </w:tc>
        <w:tc>
          <w:tcPr>
            <w:tcW w:w="388" w:type="pct"/>
            <w:shd w:val="clear" w:color="auto" w:fill="auto"/>
            <w:vAlign w:val="center"/>
          </w:tcPr>
          <w:p w14:paraId="764AC335">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2012年05月09日</w:t>
            </w:r>
          </w:p>
        </w:tc>
        <w:tc>
          <w:tcPr>
            <w:tcW w:w="718" w:type="pct"/>
            <w:shd w:val="clear" w:color="auto" w:fill="auto"/>
            <w:vAlign w:val="center"/>
          </w:tcPr>
          <w:p w14:paraId="2D2FC60F">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中国水利水电科学研究院</w:t>
            </w:r>
          </w:p>
        </w:tc>
        <w:tc>
          <w:tcPr>
            <w:tcW w:w="1076" w:type="pct"/>
            <w:shd w:val="clear" w:color="auto" w:fill="auto"/>
            <w:vAlign w:val="center"/>
          </w:tcPr>
          <w:p w14:paraId="1CCE066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董兴林，杨开林，郭新蕾，郭永鑫，王涛，付辉，贾顺钟</w:t>
            </w:r>
          </w:p>
        </w:tc>
        <w:tc>
          <w:tcPr>
            <w:tcW w:w="366" w:type="pct"/>
            <w:shd w:val="clear" w:color="auto" w:fill="auto"/>
            <w:vAlign w:val="center"/>
          </w:tcPr>
          <w:p w14:paraId="26D7F51C">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52B9CA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675BB515">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6</w:t>
            </w:r>
          </w:p>
        </w:tc>
        <w:tc>
          <w:tcPr>
            <w:tcW w:w="747" w:type="pct"/>
            <w:shd w:val="clear" w:color="auto" w:fill="auto"/>
            <w:vAlign w:val="center"/>
          </w:tcPr>
          <w:p w14:paraId="443ED2C0">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一种深孔旋流竖井泄洪洞和设计方法</w:t>
            </w:r>
          </w:p>
        </w:tc>
        <w:tc>
          <w:tcPr>
            <w:tcW w:w="496" w:type="pct"/>
            <w:shd w:val="clear" w:color="auto" w:fill="auto"/>
            <w:vAlign w:val="center"/>
          </w:tcPr>
          <w:p w14:paraId="3927EDB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发明专利</w:t>
            </w:r>
          </w:p>
        </w:tc>
        <w:tc>
          <w:tcPr>
            <w:tcW w:w="354" w:type="pct"/>
            <w:shd w:val="clear" w:color="auto" w:fill="auto"/>
            <w:vAlign w:val="center"/>
          </w:tcPr>
          <w:p w14:paraId="4BD7306A">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19692F6C">
            <w:pPr>
              <w:pStyle w:val="2"/>
              <w:adjustRightInd w:val="0"/>
              <w:snapToGrid w:val="0"/>
              <w:spacing w:line="240" w:lineRule="auto"/>
              <w:ind w:firstLine="0" w:firstLineChars="0"/>
              <w:jc w:val="center"/>
              <w:rPr>
                <w:rFonts w:hint="eastAsia" w:ascii="宋体" w:hAnsi="宋体"/>
                <w:sz w:val="21"/>
                <w:szCs w:val="21"/>
              </w:rPr>
            </w:pPr>
            <w:r>
              <w:rPr>
                <w:rFonts w:ascii="宋体" w:hAnsi="宋体"/>
                <w:sz w:val="21"/>
                <w:szCs w:val="21"/>
              </w:rPr>
              <w:t>ZL 201210200474.1</w:t>
            </w:r>
          </w:p>
        </w:tc>
        <w:tc>
          <w:tcPr>
            <w:tcW w:w="388" w:type="pct"/>
            <w:shd w:val="clear" w:color="auto" w:fill="auto"/>
            <w:vAlign w:val="center"/>
          </w:tcPr>
          <w:p w14:paraId="734CFEB3">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2014年10月01日</w:t>
            </w:r>
          </w:p>
        </w:tc>
        <w:tc>
          <w:tcPr>
            <w:tcW w:w="718" w:type="pct"/>
            <w:shd w:val="clear" w:color="auto" w:fill="auto"/>
            <w:vAlign w:val="center"/>
          </w:tcPr>
          <w:p w14:paraId="6BD40945">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中国水利水电科学研究院</w:t>
            </w:r>
          </w:p>
        </w:tc>
        <w:tc>
          <w:tcPr>
            <w:tcW w:w="1076" w:type="pct"/>
            <w:shd w:val="clear" w:color="auto" w:fill="auto"/>
            <w:vAlign w:val="center"/>
          </w:tcPr>
          <w:p w14:paraId="407479CD">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董兴林，杨开林，杨虹，付辉，郭新蕾，王涛，郭永鑫，李福田，余闽敏</w:t>
            </w:r>
          </w:p>
        </w:tc>
        <w:tc>
          <w:tcPr>
            <w:tcW w:w="366" w:type="pct"/>
            <w:shd w:val="clear" w:color="auto" w:fill="auto"/>
            <w:vAlign w:val="center"/>
          </w:tcPr>
          <w:p w14:paraId="4F71904D">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737B4E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199A7FEF">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7</w:t>
            </w:r>
          </w:p>
        </w:tc>
        <w:tc>
          <w:tcPr>
            <w:tcW w:w="747" w:type="pct"/>
            <w:shd w:val="clear" w:color="auto" w:fill="auto"/>
            <w:vAlign w:val="center"/>
          </w:tcPr>
          <w:p w14:paraId="572AC499">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一种天然河道流量的定量反演方法</w:t>
            </w:r>
          </w:p>
        </w:tc>
        <w:tc>
          <w:tcPr>
            <w:tcW w:w="496" w:type="pct"/>
            <w:shd w:val="clear" w:color="auto" w:fill="auto"/>
            <w:vAlign w:val="center"/>
          </w:tcPr>
          <w:p w14:paraId="1EC50B15">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发明专利</w:t>
            </w:r>
          </w:p>
        </w:tc>
        <w:tc>
          <w:tcPr>
            <w:tcW w:w="354" w:type="pct"/>
            <w:shd w:val="clear" w:color="auto" w:fill="auto"/>
            <w:vAlign w:val="center"/>
          </w:tcPr>
          <w:p w14:paraId="0846F4E1">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541195AA">
            <w:pPr>
              <w:widowControl/>
              <w:adjustRightInd w:val="0"/>
              <w:snapToGrid w:val="0"/>
              <w:jc w:val="center"/>
              <w:rPr>
                <w:rFonts w:hint="eastAsia" w:ascii="宋体" w:hAnsi="宋体" w:eastAsia="宋体" w:cs="Times New Roman"/>
                <w:szCs w:val="21"/>
              </w:rPr>
            </w:pPr>
            <w:r>
              <w:rPr>
                <w:rFonts w:hint="eastAsia" w:ascii="宋体" w:hAnsi="宋体" w:eastAsia="宋体" w:cs="Times New Roman"/>
                <w:szCs w:val="21"/>
              </w:rPr>
              <w:t>ZL 201810133637.6</w:t>
            </w:r>
          </w:p>
          <w:p w14:paraId="252D23D2">
            <w:pPr>
              <w:pStyle w:val="2"/>
              <w:adjustRightInd w:val="0"/>
              <w:snapToGrid w:val="0"/>
              <w:spacing w:line="240" w:lineRule="auto"/>
              <w:ind w:firstLine="0" w:firstLineChars="0"/>
              <w:jc w:val="center"/>
              <w:rPr>
                <w:rFonts w:hint="eastAsia" w:ascii="宋体" w:hAnsi="宋体"/>
                <w:sz w:val="21"/>
                <w:szCs w:val="21"/>
              </w:rPr>
            </w:pPr>
          </w:p>
        </w:tc>
        <w:tc>
          <w:tcPr>
            <w:tcW w:w="388" w:type="pct"/>
            <w:shd w:val="clear" w:color="auto" w:fill="auto"/>
            <w:vAlign w:val="center"/>
          </w:tcPr>
          <w:p w14:paraId="4FC3FF1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2021年3月12日</w:t>
            </w:r>
          </w:p>
        </w:tc>
        <w:tc>
          <w:tcPr>
            <w:tcW w:w="718" w:type="pct"/>
            <w:shd w:val="clear" w:color="auto" w:fill="auto"/>
            <w:vAlign w:val="center"/>
          </w:tcPr>
          <w:p w14:paraId="2D1DD9F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中国水利水电科学研究院</w:t>
            </w:r>
          </w:p>
        </w:tc>
        <w:tc>
          <w:tcPr>
            <w:tcW w:w="1076" w:type="pct"/>
            <w:shd w:val="clear" w:color="auto" w:fill="auto"/>
            <w:vAlign w:val="center"/>
          </w:tcPr>
          <w:p w14:paraId="7615B1FF">
            <w:pPr>
              <w:widowControl/>
              <w:adjustRightInd w:val="0"/>
              <w:snapToGrid w:val="0"/>
              <w:jc w:val="center"/>
              <w:rPr>
                <w:rFonts w:hint="eastAsia" w:ascii="宋体" w:hAnsi="宋体" w:eastAsia="宋体" w:cs="Times New Roman"/>
                <w:szCs w:val="21"/>
              </w:rPr>
            </w:pPr>
            <w:r>
              <w:rPr>
                <w:rFonts w:hint="eastAsia" w:ascii="宋体" w:hAnsi="宋体" w:eastAsia="宋体" w:cs="Times New Roman"/>
                <w:szCs w:val="21"/>
              </w:rPr>
              <w:t>郭新蕾，巩同梁，李甲振，曾利，王静，王涛，付辉，郭永鑫，黄伟，马慧敏，路锦枝</w:t>
            </w:r>
          </w:p>
          <w:p w14:paraId="6D40A76F">
            <w:pPr>
              <w:pStyle w:val="2"/>
              <w:adjustRightInd w:val="0"/>
              <w:snapToGrid w:val="0"/>
              <w:spacing w:line="240" w:lineRule="auto"/>
              <w:ind w:firstLine="0" w:firstLineChars="0"/>
              <w:jc w:val="center"/>
              <w:rPr>
                <w:rFonts w:hint="eastAsia" w:ascii="宋体" w:hAnsi="宋体"/>
                <w:sz w:val="21"/>
                <w:szCs w:val="21"/>
              </w:rPr>
            </w:pPr>
          </w:p>
        </w:tc>
        <w:tc>
          <w:tcPr>
            <w:tcW w:w="366" w:type="pct"/>
            <w:shd w:val="clear" w:color="auto" w:fill="auto"/>
            <w:vAlign w:val="center"/>
          </w:tcPr>
          <w:p w14:paraId="64643612">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4F792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311F0D3A">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8</w:t>
            </w:r>
          </w:p>
        </w:tc>
        <w:tc>
          <w:tcPr>
            <w:tcW w:w="747" w:type="pct"/>
            <w:shd w:val="clear" w:color="auto" w:fill="auto"/>
            <w:vAlign w:val="center"/>
          </w:tcPr>
          <w:p w14:paraId="0F4B360D">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洞内自补气消能方法和装置</w:t>
            </w:r>
          </w:p>
        </w:tc>
        <w:tc>
          <w:tcPr>
            <w:tcW w:w="496" w:type="pct"/>
            <w:shd w:val="clear" w:color="auto" w:fill="auto"/>
            <w:vAlign w:val="center"/>
          </w:tcPr>
          <w:p w14:paraId="53654B3E">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发明专利</w:t>
            </w:r>
          </w:p>
        </w:tc>
        <w:tc>
          <w:tcPr>
            <w:tcW w:w="354" w:type="pct"/>
            <w:shd w:val="clear" w:color="auto" w:fill="auto"/>
            <w:vAlign w:val="center"/>
          </w:tcPr>
          <w:p w14:paraId="70045E0A">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7298A1A3">
            <w:pPr>
              <w:pStyle w:val="2"/>
              <w:adjustRightInd w:val="0"/>
              <w:snapToGrid w:val="0"/>
              <w:spacing w:line="240" w:lineRule="auto"/>
              <w:ind w:firstLine="0" w:firstLineChars="0"/>
              <w:jc w:val="center"/>
              <w:rPr>
                <w:rFonts w:hint="eastAsia" w:ascii="宋体" w:hAnsi="宋体"/>
                <w:sz w:val="21"/>
                <w:szCs w:val="21"/>
              </w:rPr>
            </w:pPr>
            <w:r>
              <w:rPr>
                <w:rFonts w:ascii="宋体" w:hAnsi="宋体"/>
                <w:sz w:val="21"/>
                <w:szCs w:val="21"/>
              </w:rPr>
              <w:t>ZL 201110114073.X</w:t>
            </w:r>
          </w:p>
        </w:tc>
        <w:tc>
          <w:tcPr>
            <w:tcW w:w="388" w:type="pct"/>
            <w:shd w:val="clear" w:color="auto" w:fill="auto"/>
            <w:vAlign w:val="center"/>
          </w:tcPr>
          <w:p w14:paraId="647DDBBB">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2013年06月05日</w:t>
            </w:r>
          </w:p>
        </w:tc>
        <w:tc>
          <w:tcPr>
            <w:tcW w:w="718" w:type="pct"/>
            <w:shd w:val="clear" w:color="auto" w:fill="auto"/>
            <w:vAlign w:val="center"/>
          </w:tcPr>
          <w:p w14:paraId="4B6375F7">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中国水利水电科学研究院</w:t>
            </w:r>
          </w:p>
        </w:tc>
        <w:tc>
          <w:tcPr>
            <w:tcW w:w="1076" w:type="pct"/>
            <w:shd w:val="clear" w:color="auto" w:fill="auto"/>
            <w:vAlign w:val="center"/>
          </w:tcPr>
          <w:p w14:paraId="41B16730">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董兴林，杨开林，郭新蕾，郭永鑫，王涛，付辉，贾顺钟</w:t>
            </w:r>
          </w:p>
        </w:tc>
        <w:tc>
          <w:tcPr>
            <w:tcW w:w="366" w:type="pct"/>
            <w:shd w:val="clear" w:color="auto" w:fill="auto"/>
            <w:vAlign w:val="center"/>
          </w:tcPr>
          <w:p w14:paraId="4DD069D7">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426E27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2175E7C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9</w:t>
            </w:r>
          </w:p>
        </w:tc>
        <w:tc>
          <w:tcPr>
            <w:tcW w:w="747" w:type="pct"/>
            <w:shd w:val="clear" w:color="auto" w:fill="auto"/>
            <w:vAlign w:val="center"/>
          </w:tcPr>
          <w:p w14:paraId="4349171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水电工程泄水建筑物消能防冲设计导则</w:t>
            </w:r>
          </w:p>
        </w:tc>
        <w:tc>
          <w:tcPr>
            <w:tcW w:w="496" w:type="pct"/>
            <w:shd w:val="clear" w:color="auto" w:fill="auto"/>
            <w:vAlign w:val="center"/>
          </w:tcPr>
          <w:p w14:paraId="6607420A">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标准</w:t>
            </w:r>
          </w:p>
        </w:tc>
        <w:tc>
          <w:tcPr>
            <w:tcW w:w="354" w:type="pct"/>
            <w:shd w:val="clear" w:color="auto" w:fill="auto"/>
            <w:vAlign w:val="center"/>
          </w:tcPr>
          <w:p w14:paraId="3F7D696D">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10B99DD8">
            <w:pPr>
              <w:pStyle w:val="2"/>
              <w:adjustRightInd w:val="0"/>
              <w:snapToGrid w:val="0"/>
              <w:spacing w:line="240" w:lineRule="auto"/>
              <w:ind w:firstLine="0" w:firstLineChars="0"/>
              <w:jc w:val="center"/>
              <w:rPr>
                <w:rFonts w:hint="eastAsia" w:ascii="宋体" w:hAnsi="宋体"/>
                <w:sz w:val="21"/>
                <w:szCs w:val="21"/>
              </w:rPr>
            </w:pPr>
            <w:r>
              <w:rPr>
                <w:rFonts w:ascii="宋体" w:hAnsi="宋体"/>
                <w:sz w:val="21"/>
                <w:szCs w:val="21"/>
              </w:rPr>
              <w:t>NB/T 10392-2020</w:t>
            </w:r>
          </w:p>
        </w:tc>
        <w:tc>
          <w:tcPr>
            <w:tcW w:w="388" w:type="pct"/>
            <w:shd w:val="clear" w:color="auto" w:fill="auto"/>
            <w:vAlign w:val="center"/>
          </w:tcPr>
          <w:p w14:paraId="3BE93060">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2020年10月23日</w:t>
            </w:r>
          </w:p>
        </w:tc>
        <w:tc>
          <w:tcPr>
            <w:tcW w:w="718" w:type="pct"/>
            <w:shd w:val="clear" w:color="auto" w:fill="auto"/>
            <w:vAlign w:val="center"/>
          </w:tcPr>
          <w:p w14:paraId="7BF1A298">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中国电建集团西北勘测设计研究院有限公司</w:t>
            </w:r>
          </w:p>
        </w:tc>
        <w:tc>
          <w:tcPr>
            <w:tcW w:w="1076" w:type="pct"/>
            <w:shd w:val="clear" w:color="auto" w:fill="auto"/>
            <w:vAlign w:val="center"/>
          </w:tcPr>
          <w:p w14:paraId="7FF7AB9C">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周恒</w:t>
            </w:r>
            <w:r>
              <w:rPr>
                <w:rFonts w:ascii="宋体" w:hAnsi="宋体"/>
                <w:sz w:val="21"/>
                <w:szCs w:val="21"/>
              </w:rPr>
              <w:t>，李跃涛</w:t>
            </w:r>
          </w:p>
        </w:tc>
        <w:tc>
          <w:tcPr>
            <w:tcW w:w="366" w:type="pct"/>
            <w:shd w:val="clear" w:color="auto" w:fill="auto"/>
            <w:vAlign w:val="center"/>
          </w:tcPr>
          <w:p w14:paraId="5B7F6C6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r w14:paraId="318FF5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0" w:hRule="atLeast"/>
          <w:jc w:val="center"/>
        </w:trPr>
        <w:tc>
          <w:tcPr>
            <w:tcW w:w="246" w:type="pct"/>
            <w:shd w:val="clear" w:color="auto" w:fill="auto"/>
            <w:vAlign w:val="center"/>
          </w:tcPr>
          <w:p w14:paraId="16F7A80D">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10</w:t>
            </w:r>
          </w:p>
        </w:tc>
        <w:tc>
          <w:tcPr>
            <w:tcW w:w="747" w:type="pct"/>
            <w:shd w:val="clear" w:color="auto" w:fill="auto"/>
            <w:vAlign w:val="center"/>
          </w:tcPr>
          <w:p w14:paraId="35F6B02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自调节起旋墩泄洪防蚀消能技术</w:t>
            </w:r>
          </w:p>
        </w:tc>
        <w:tc>
          <w:tcPr>
            <w:tcW w:w="496" w:type="pct"/>
            <w:shd w:val="clear" w:color="auto" w:fill="auto"/>
            <w:vAlign w:val="center"/>
          </w:tcPr>
          <w:p w14:paraId="53D068D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水利先进实用技术推广</w:t>
            </w:r>
          </w:p>
        </w:tc>
        <w:tc>
          <w:tcPr>
            <w:tcW w:w="354" w:type="pct"/>
            <w:shd w:val="clear" w:color="auto" w:fill="auto"/>
            <w:vAlign w:val="center"/>
          </w:tcPr>
          <w:p w14:paraId="7D52BB12">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w:t>
            </w:r>
          </w:p>
        </w:tc>
        <w:tc>
          <w:tcPr>
            <w:tcW w:w="608" w:type="pct"/>
            <w:shd w:val="clear" w:color="auto" w:fill="auto"/>
            <w:vAlign w:val="center"/>
          </w:tcPr>
          <w:p w14:paraId="4304EB14">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TZ2013008</w:t>
            </w:r>
          </w:p>
        </w:tc>
        <w:tc>
          <w:tcPr>
            <w:tcW w:w="388" w:type="pct"/>
            <w:shd w:val="clear" w:color="auto" w:fill="auto"/>
            <w:vAlign w:val="center"/>
          </w:tcPr>
          <w:p w14:paraId="2EBB3988">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2013年1月5日</w:t>
            </w:r>
          </w:p>
        </w:tc>
        <w:tc>
          <w:tcPr>
            <w:tcW w:w="718" w:type="pct"/>
            <w:shd w:val="clear" w:color="auto" w:fill="auto"/>
            <w:vAlign w:val="center"/>
          </w:tcPr>
          <w:p w14:paraId="5F9AD306">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中国水利水电科学研究院</w:t>
            </w:r>
          </w:p>
        </w:tc>
        <w:tc>
          <w:tcPr>
            <w:tcW w:w="1076" w:type="pct"/>
            <w:shd w:val="clear" w:color="auto" w:fill="auto"/>
            <w:vAlign w:val="center"/>
          </w:tcPr>
          <w:p w14:paraId="519E64FF">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董兴林，杨开林，郭新蕾，郭永鑫，王涛，付辉，贾顺钟，余闽敏，谢省宗</w:t>
            </w:r>
          </w:p>
        </w:tc>
        <w:tc>
          <w:tcPr>
            <w:tcW w:w="366" w:type="pct"/>
            <w:shd w:val="clear" w:color="auto" w:fill="auto"/>
            <w:vAlign w:val="center"/>
          </w:tcPr>
          <w:p w14:paraId="44955FFB">
            <w:pPr>
              <w:pStyle w:val="2"/>
              <w:adjustRightInd w:val="0"/>
              <w:snapToGrid w:val="0"/>
              <w:spacing w:line="240" w:lineRule="auto"/>
              <w:ind w:firstLine="0" w:firstLineChars="0"/>
              <w:jc w:val="center"/>
              <w:rPr>
                <w:rFonts w:hint="eastAsia" w:ascii="宋体" w:hAnsi="宋体"/>
                <w:sz w:val="21"/>
                <w:szCs w:val="21"/>
              </w:rPr>
            </w:pPr>
            <w:r>
              <w:rPr>
                <w:rFonts w:hint="eastAsia" w:ascii="宋体" w:hAnsi="宋体"/>
                <w:sz w:val="21"/>
                <w:szCs w:val="21"/>
              </w:rPr>
              <w:t>有效</w:t>
            </w:r>
          </w:p>
        </w:tc>
      </w:tr>
    </w:tbl>
    <w:p w14:paraId="680EAD22">
      <w:pPr>
        <w:pStyle w:val="7"/>
        <w:spacing w:before="156" w:beforeLines="50" w:line="360" w:lineRule="auto"/>
        <w:ind w:firstLine="0" w:firstLineChars="0"/>
        <w:jc w:val="left"/>
        <w:outlineLvl w:val="0"/>
        <w:rPr>
          <w:rFonts w:hint="eastAsia" w:ascii="宋体" w:hAnsi="宋体" w:eastAsia="宋体" w:cs="宋体"/>
          <w:b/>
          <w:bCs/>
          <w:sz w:val="24"/>
          <w:szCs w:val="24"/>
        </w:rPr>
      </w:pPr>
      <w:r>
        <w:rPr>
          <w:rFonts w:hint="eastAsia" w:ascii="宋体" w:hAnsi="宋体" w:eastAsia="宋体" w:cs="宋体"/>
          <w:b/>
          <w:bCs/>
          <w:sz w:val="24"/>
          <w:szCs w:val="24"/>
        </w:rPr>
        <w:t>四、主要完成人</w:t>
      </w:r>
    </w:p>
    <w:p w14:paraId="1614D2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周恒、谢小平、郭新蕾、张文山、胡一栋、丁新潮、李跃涛、刘世隆、王涛、尹进步、许建军、付辉、王卫国、董兴林、吴涛</w:t>
      </w:r>
    </w:p>
    <w:p w14:paraId="37E07BAC">
      <w:pPr>
        <w:pStyle w:val="7"/>
        <w:spacing w:before="156" w:beforeLines="50" w:line="360" w:lineRule="auto"/>
        <w:ind w:firstLine="0" w:firstLineChars="0"/>
        <w:jc w:val="left"/>
        <w:outlineLvl w:val="0"/>
        <w:rPr>
          <w:rFonts w:hint="eastAsia" w:ascii="宋体" w:hAnsi="宋体" w:eastAsia="宋体" w:cs="宋体"/>
          <w:b/>
          <w:bCs/>
          <w:sz w:val="24"/>
          <w:szCs w:val="24"/>
        </w:rPr>
      </w:pPr>
      <w:r>
        <w:rPr>
          <w:rFonts w:hint="eastAsia" w:ascii="宋体" w:hAnsi="宋体" w:eastAsia="宋体" w:cs="宋体"/>
          <w:b/>
          <w:bCs/>
          <w:sz w:val="24"/>
          <w:szCs w:val="24"/>
        </w:rPr>
        <w:t>五、主要完成单位</w:t>
      </w:r>
    </w:p>
    <w:p w14:paraId="39F536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青海黄河上游水电开发有限责任公司、中国电建集团西北勘测设计研究院有限公司、中国水利水电科学研究院、中国水利水电第四工程局有限公司、西北农林科技大学</w:t>
      </w:r>
    </w:p>
    <w:p w14:paraId="0F397FA2">
      <w:pPr>
        <w:pStyle w:val="7"/>
        <w:spacing w:before="156" w:beforeLines="50"/>
        <w:ind w:firstLine="0" w:firstLineChars="0"/>
        <w:jc w:val="left"/>
        <w:outlineLvl w:val="0"/>
        <w:rPr>
          <w:rFonts w:hint="eastAsia" w:ascii="宋体" w:hAnsi="宋体" w:eastAsia="宋体" w:cs="宋体"/>
          <w:b/>
          <w:bCs/>
          <w:sz w:val="24"/>
          <w:szCs w:val="24"/>
        </w:rPr>
      </w:pPr>
      <w:r>
        <w:rPr>
          <w:rFonts w:hint="eastAsia" w:ascii="宋体" w:hAnsi="宋体" w:eastAsia="宋体" w:cs="宋体"/>
          <w:b/>
          <w:bCs/>
          <w:sz w:val="24"/>
          <w:szCs w:val="24"/>
        </w:rPr>
        <w:t>六、</w:t>
      </w:r>
      <w:r>
        <w:rPr>
          <w:rFonts w:ascii="宋体" w:hAnsi="宋体" w:eastAsia="宋体" w:cs="宋体"/>
          <w:b/>
          <w:bCs/>
          <w:sz w:val="24"/>
          <w:szCs w:val="24"/>
        </w:rPr>
        <w:t>提名</w:t>
      </w:r>
      <w:r>
        <w:rPr>
          <w:rFonts w:hint="eastAsia" w:ascii="宋体" w:hAnsi="宋体" w:eastAsia="宋体" w:cs="宋体"/>
          <w:b/>
          <w:bCs/>
          <w:sz w:val="24"/>
          <w:szCs w:val="24"/>
        </w:rPr>
        <w:t>专家</w:t>
      </w:r>
      <w:r>
        <w:rPr>
          <w:rFonts w:ascii="宋体" w:hAnsi="宋体" w:eastAsia="宋体" w:cs="宋体"/>
          <w:b/>
          <w:bCs/>
          <w:sz w:val="24"/>
          <w:szCs w:val="24"/>
        </w:rPr>
        <w:t>基本情况</w:t>
      </w:r>
    </w:p>
    <w:p w14:paraId="2BE2323C">
      <w:pPr>
        <w:pStyle w:val="7"/>
        <w:spacing w:before="156" w:beforeLines="50"/>
        <w:ind w:firstLine="0" w:firstLineChars="0"/>
        <w:jc w:val="left"/>
        <w:outlineLvl w:val="0"/>
        <w:rPr>
          <w:rFonts w:hint="eastAsia" w:ascii="宋体" w:hAnsi="宋体" w:eastAsia="宋体" w:cs="宋体"/>
          <w:b/>
          <w:bCs/>
          <w:sz w:val="24"/>
          <w:szCs w:val="24"/>
        </w:rPr>
      </w:pPr>
      <w:r>
        <w:rPr>
          <w:rFonts w:hint="eastAsia" w:ascii="宋体" w:hAnsi="宋体" w:eastAsia="宋体" w:cs="宋体"/>
          <w:bCs/>
          <w:sz w:val="24"/>
          <w:szCs w:val="24"/>
        </w:rPr>
        <w:t>姓名：王浩，</w:t>
      </w:r>
      <w:r>
        <w:rPr>
          <w:rFonts w:ascii="宋体" w:hAnsi="宋体" w:eastAsia="宋体" w:cs="宋体"/>
          <w:bCs/>
          <w:sz w:val="24"/>
          <w:szCs w:val="24"/>
        </w:rPr>
        <w:t>专业</w:t>
      </w:r>
      <w:r>
        <w:rPr>
          <w:rFonts w:hint="eastAsia" w:ascii="宋体" w:hAnsi="宋体" w:eastAsia="宋体" w:cs="宋体"/>
          <w:bCs/>
          <w:sz w:val="24"/>
          <w:szCs w:val="24"/>
        </w:rPr>
        <w:t>：水文水资源，职称</w:t>
      </w:r>
      <w:r>
        <w:rPr>
          <w:rFonts w:ascii="宋体" w:hAnsi="宋体" w:eastAsia="宋体" w:cs="宋体"/>
          <w:bCs/>
          <w:sz w:val="24"/>
          <w:szCs w:val="24"/>
        </w:rPr>
        <w:t>：院士，工作单位：中国工程院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63"/>
    <w:rsid w:val="000016AA"/>
    <w:rsid w:val="000412DA"/>
    <w:rsid w:val="00097F0D"/>
    <w:rsid w:val="000D7D6E"/>
    <w:rsid w:val="00102928"/>
    <w:rsid w:val="00112817"/>
    <w:rsid w:val="00115A54"/>
    <w:rsid w:val="00125F1D"/>
    <w:rsid w:val="001363FA"/>
    <w:rsid w:val="00166DAF"/>
    <w:rsid w:val="00275936"/>
    <w:rsid w:val="002A3E4D"/>
    <w:rsid w:val="00367AB2"/>
    <w:rsid w:val="003A1060"/>
    <w:rsid w:val="003A232C"/>
    <w:rsid w:val="003C4C8B"/>
    <w:rsid w:val="003D0F36"/>
    <w:rsid w:val="004450DF"/>
    <w:rsid w:val="00466FCF"/>
    <w:rsid w:val="004B58B7"/>
    <w:rsid w:val="004D09CB"/>
    <w:rsid w:val="004E2B59"/>
    <w:rsid w:val="004E5574"/>
    <w:rsid w:val="00523183"/>
    <w:rsid w:val="00535E8D"/>
    <w:rsid w:val="00555D9D"/>
    <w:rsid w:val="00587A00"/>
    <w:rsid w:val="00587F34"/>
    <w:rsid w:val="00696D84"/>
    <w:rsid w:val="006B6362"/>
    <w:rsid w:val="006E5B23"/>
    <w:rsid w:val="006F57E6"/>
    <w:rsid w:val="00724591"/>
    <w:rsid w:val="00761CC9"/>
    <w:rsid w:val="007D1C15"/>
    <w:rsid w:val="007E3D97"/>
    <w:rsid w:val="007E7986"/>
    <w:rsid w:val="00824F98"/>
    <w:rsid w:val="00836506"/>
    <w:rsid w:val="008C3867"/>
    <w:rsid w:val="009710F2"/>
    <w:rsid w:val="00A02863"/>
    <w:rsid w:val="00A46362"/>
    <w:rsid w:val="00A67918"/>
    <w:rsid w:val="00A7789E"/>
    <w:rsid w:val="00A916BE"/>
    <w:rsid w:val="00A93294"/>
    <w:rsid w:val="00B13DAB"/>
    <w:rsid w:val="00B35C39"/>
    <w:rsid w:val="00B51BF2"/>
    <w:rsid w:val="00BB2FE2"/>
    <w:rsid w:val="00BD3DC0"/>
    <w:rsid w:val="00C05E5F"/>
    <w:rsid w:val="00C14805"/>
    <w:rsid w:val="00C21A83"/>
    <w:rsid w:val="00C41B5D"/>
    <w:rsid w:val="00C442D5"/>
    <w:rsid w:val="00CF37F3"/>
    <w:rsid w:val="00D055B9"/>
    <w:rsid w:val="00D112D7"/>
    <w:rsid w:val="00D76052"/>
    <w:rsid w:val="00D767C9"/>
    <w:rsid w:val="00D97361"/>
    <w:rsid w:val="00DA0365"/>
    <w:rsid w:val="00E21A56"/>
    <w:rsid w:val="00E23DB0"/>
    <w:rsid w:val="00ED1F5A"/>
    <w:rsid w:val="00ED7901"/>
    <w:rsid w:val="00EF4DEE"/>
    <w:rsid w:val="00F65131"/>
    <w:rsid w:val="00F863EF"/>
    <w:rsid w:val="00F91686"/>
    <w:rsid w:val="00FA4016"/>
    <w:rsid w:val="25B1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pPr>
      <w:spacing w:line="360" w:lineRule="auto"/>
      <w:ind w:firstLine="480" w:firstLineChars="200"/>
    </w:pPr>
    <w:rPr>
      <w:rFonts w:ascii="仿宋_GB2312" w:hAnsi="Times New Roman" w:eastAsia="宋体" w:cs="Times New Roman"/>
      <w:sz w:val="24"/>
      <w:szCs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纯文本 字符"/>
    <w:basedOn w:val="6"/>
    <w:link w:val="2"/>
    <w:qFormat/>
    <w:uiPriority w:val="0"/>
    <w:rPr>
      <w:rFonts w:ascii="仿宋_GB2312" w:hAnsi="Times New Roman" w:eastAsia="宋体" w:cs="Times New Roman"/>
      <w:sz w:val="24"/>
      <w:szCs w:val="24"/>
    </w:rPr>
  </w:style>
  <w:style w:type="character" w:customStyle="1" w:styleId="9">
    <w:name w:val="正文文本 (6)_"/>
    <w:link w:val="10"/>
    <w:qFormat/>
    <w:locked/>
    <w:uiPriority w:val="99"/>
    <w:rPr>
      <w:rFonts w:ascii="MingLiU" w:hAnsi="MingLiU" w:eastAsia="MingLiU"/>
      <w:sz w:val="17"/>
      <w:shd w:val="clear" w:color="auto" w:fill="FFFFFF"/>
    </w:rPr>
  </w:style>
  <w:style w:type="paragraph" w:customStyle="1" w:styleId="10">
    <w:name w:val="正文文本 (6)"/>
    <w:basedOn w:val="1"/>
    <w:link w:val="9"/>
    <w:qFormat/>
    <w:uiPriority w:val="99"/>
    <w:pPr>
      <w:shd w:val="clear" w:color="auto" w:fill="FFFFFF"/>
      <w:spacing w:line="240" w:lineRule="atLeast"/>
      <w:jc w:val="left"/>
    </w:pPr>
    <w:rPr>
      <w:rFonts w:ascii="MingLiU" w:hAnsi="MingLiU" w:eastAsia="MingLiU"/>
      <w:sz w:val="17"/>
      <w:shd w:val="clear" w:color="auto" w:fill="FFFFFF"/>
    </w:rPr>
  </w:style>
  <w:style w:type="character" w:customStyle="1" w:styleId="11">
    <w:name w:val="纯文本 字符1"/>
    <w:qFormat/>
    <w:uiPriority w:val="0"/>
    <w:rPr>
      <w:rFonts w:ascii="仿宋_GB2312"/>
      <w:kern w:val="2"/>
      <w:sz w:val="24"/>
    </w:rPr>
  </w:style>
  <w:style w:type="character" w:customStyle="1" w:styleId="12">
    <w:name w:val="页眉 字符"/>
    <w:basedOn w:val="6"/>
    <w:link w:val="4"/>
    <w:qFormat/>
    <w:uiPriority w:val="99"/>
    <w:rPr>
      <w:sz w:val="18"/>
      <w:szCs w:val="18"/>
    </w:rPr>
  </w:style>
  <w:style w:type="character" w:customStyle="1" w:styleId="13">
    <w:name w:val="页脚 字符"/>
    <w:basedOn w:val="6"/>
    <w:link w:val="3"/>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1678</Words>
  <Characters>1866</Characters>
  <Lines>14</Lines>
  <Paragraphs>3</Paragraphs>
  <TotalTime>9</TotalTime>
  <ScaleCrop>false</ScaleCrop>
  <LinksUpToDate>false</LinksUpToDate>
  <CharactersWithSpaces>1871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2024-07-18T10:19:00Z</dcterms:created>
  <dc:creator>李跃涛</dc:creator>
  <cp:lastModifiedBy>溪水</cp:lastModifiedBy>
  <dcterms:modified xsi:type="dcterms:W3CDTF">2024-07-19T08:15:48Z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84F02814338C4514BDCCC4A03AA3915A_13</vt:lpwstr>
  </property>
</Properties>
</file>